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45" w:rsidRPr="00385E45" w:rsidRDefault="001B52D2" w:rsidP="00385E45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85E45">
        <w:rPr>
          <w:rFonts w:ascii="Times New Roman" w:eastAsia="Times New Roman" w:hAnsi="Times New Roman" w:cs="Times New Roman"/>
          <w:sz w:val="2"/>
          <w:szCs w:val="2"/>
          <w:lang w:eastAsia="ru-RU"/>
        </w:rPr>
        <w:fldChar w:fldCharType="begin"/>
      </w:r>
      <w:r w:rsidR="00385E45" w:rsidRPr="00385E45">
        <w:rPr>
          <w:rFonts w:ascii="Times New Roman" w:eastAsia="Times New Roman" w:hAnsi="Times New Roman" w:cs="Times New Roman"/>
          <w:sz w:val="2"/>
          <w:szCs w:val="2"/>
          <w:lang w:eastAsia="ru-RU"/>
        </w:rPr>
        <w:instrText xml:space="preserve"> HYPERLINK "https://www.glavbukh.ru/" </w:instrText>
      </w:r>
      <w:r w:rsidRPr="00385E45">
        <w:rPr>
          <w:rFonts w:ascii="Times New Roman" w:eastAsia="Times New Roman" w:hAnsi="Times New Roman" w:cs="Times New Roman"/>
          <w:sz w:val="2"/>
          <w:szCs w:val="2"/>
          <w:lang w:eastAsia="ru-RU"/>
        </w:rPr>
        <w:fldChar w:fldCharType="separate"/>
      </w:r>
      <w:r w:rsidRPr="001B52D2">
        <w:rPr>
          <w:rFonts w:ascii="Times New Roman" w:eastAsia="Times New Roman" w:hAnsi="Times New Roman" w:cs="Times New Roman"/>
          <w:i/>
          <w:iCs/>
          <w:color w:val="E21F27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href="https://www.glavbukh.ru/" style="width:24pt;height:24pt" o:button="t"/>
        </w:pict>
      </w:r>
      <w:r w:rsidRPr="00385E45">
        <w:rPr>
          <w:rFonts w:ascii="Times New Roman" w:eastAsia="Times New Roman" w:hAnsi="Times New Roman" w:cs="Times New Roman"/>
          <w:sz w:val="2"/>
          <w:szCs w:val="2"/>
          <w:lang w:eastAsia="ru-RU"/>
        </w:rPr>
        <w:fldChar w:fldCharType="end"/>
      </w:r>
    </w:p>
    <w:p w:rsidR="00385E45" w:rsidRPr="00385E45" w:rsidRDefault="001B52D2" w:rsidP="00385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385E45" w:rsidRPr="00385E45">
          <w:rPr>
            <w:rFonts w:ascii="Arial" w:eastAsia="Times New Roman" w:hAnsi="Arial" w:cs="Arial"/>
            <w:b/>
            <w:bCs/>
            <w:caps/>
            <w:color w:val="000000"/>
            <w:sz w:val="20"/>
            <w:lang w:eastAsia="ru-RU"/>
          </w:rPr>
          <w:t>ПОДПИСАТЬСЯ</w:t>
        </w:r>
      </w:hyperlink>
    </w:p>
    <w:p w:rsidR="00385E45" w:rsidRPr="00385E45" w:rsidRDefault="00385E45" w:rsidP="00385E45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385E45" w:rsidRPr="00385E45" w:rsidRDefault="00385E45" w:rsidP="00385E45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85E4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У меня вопрос касается водного налога. Мы добываем воду из скважины. У нас есть приборы учета измерения забранной воды, есть лицензия. Воду мы используем для собственных нужд и так же (меньшее </w:t>
      </w:r>
      <w:proofErr w:type="gramStart"/>
      <w:r w:rsidRPr="00385E4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количество) </w:t>
      </w:r>
      <w:proofErr w:type="gramEnd"/>
      <w:r w:rsidRPr="00385E4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мы разливаем в тару (бутылки 1,5л, 0,5л и 20л) и продаем. Какой коэффициент нам использовать для расчета налога? 1,15 или еще умножаем на 10, Но большая часть воды идет не в производство и продажу.</w:t>
      </w:r>
    </w:p>
    <w:p w:rsidR="00385E45" w:rsidRPr="00385E45" w:rsidRDefault="00385E45" w:rsidP="00385E45">
      <w:pPr>
        <w:shd w:val="clear" w:color="auto" w:fill="FFFFFF"/>
        <w:spacing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385E4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Тема: </w:t>
      </w:r>
      <w:hyperlink r:id="rId5" w:history="1">
        <w:r w:rsidRPr="00385E45">
          <w:rPr>
            <w:rFonts w:ascii="Arial" w:eastAsia="Times New Roman" w:hAnsi="Arial" w:cs="Arial"/>
            <w:color w:val="888888"/>
            <w:sz w:val="21"/>
            <w:lang w:eastAsia="ru-RU"/>
          </w:rPr>
          <w:t>Водный налог</w:t>
        </w:r>
      </w:hyperlink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Отвечает Александр </w:t>
      </w:r>
      <w:proofErr w:type="spellStart"/>
      <w:r w:rsidRPr="00385E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Ермаченко</w:t>
      </w:r>
      <w:proofErr w:type="spellEnd"/>
      <w:r w:rsidRPr="00385E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</w:t>
      </w:r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</w:t>
      </w:r>
      <w:proofErr w:type="gramStart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письме Минфина России от 12 марта 2015 г. № 03-06-06-02/13174 сказано, что согласно пункту 5 статьи 333.12 НК РФ ставка водного налога при добыче подземных вод (за исключением промышленных, минеральных, а также термальных вод) в целях их реализации после обработки, подготовки, переработки и (или) упаковки в тару, определяемая с учетом положений пункта 1.1 этой статьи, применяется с дополнительным коэффициентом 10. </w:t>
      </w:r>
      <w:proofErr w:type="gramStart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изложенного следует</w:t>
      </w:r>
      <w:proofErr w:type="gramEnd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положения п. 5 ст. 333.12 НК РФ применяются в том случае, когда забор воды из подземного водного объекта осуществляется в целях ее дальнейшей реализации после обработки, подготовки, переработки и (или) упаковки в тару.</w:t>
      </w:r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в письме ФНС России от 22.01.2015 № ГД-4-3/721@ «О заполнении налоговой декларации по водному налогу» сказано, что в случае превышения величины разрешенного </w:t>
      </w:r>
      <w:proofErr w:type="spellStart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водоотбора</w:t>
      </w:r>
      <w:proofErr w:type="spellEnd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установленного лицензией на право пользования недрами, в части такого превышения налогоплательщиком должна применяться ставка водного налога, определяемая путем умножения ставки водного налога, установленной подпунктом 1 пункта 1 статьи 333.12 Кодекса, на коэффициент 1,15, на коэффициент 10</w:t>
      </w:r>
      <w:proofErr w:type="gramEnd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на 5.</w:t>
      </w:r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Получается, что общество, которое </w:t>
      </w:r>
      <w:proofErr w:type="gramStart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использует воду для реализации должна</w:t>
      </w:r>
      <w:proofErr w:type="gramEnd"/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применять 2 коэффициента.</w:t>
      </w:r>
      <w:r w:rsidRPr="00385E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Вопрос о возможности разделения ставок по налогообложению в зависимости от направления использования добытой воды следует направить в Минфин России. Официальных разъяснений пока по данному вопросу не было.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Обоснование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Из письма Минфина России от 12 марта 2015 г. № 03-06-06-02/13174</w:t>
      </w: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 xml:space="preserve">Вопрос: На основании лицензии на право пользования недрами с целевым назначением и видом работ "добыча пресных подземных вод на водозаборе для </w:t>
      </w:r>
      <w:proofErr w:type="spellStart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хозпитьевого</w:t>
      </w:r>
      <w:proofErr w:type="spellEnd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и производственного водоснабжения ОАО, населения и передачи другим потребителям" ОАО осуществляет добычу артезианской воды.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Федеральным законом от 24.11.2014 № 366-ФЗ внесены изменения в гл. 25.2 НК РФ: с 01.01.2015 изменены ставки водного налога и к ним применяются повышающие коэффициенты.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Нужно ли ОАО применять повышающий коэффициент 10 к ставкам водного налога согласно п. 5 ст. 333.12 НК РФ?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Департамент налоговой и </w:t>
      </w:r>
      <w:proofErr w:type="spellStart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таможенно-тарифной</w:t>
      </w:r>
      <w:proofErr w:type="spellEnd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политики рассмотрел письмо по вопросу исчисления водного налога и сообщает следующее.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Федеральный закон от 24.11.2014 N 366-ФЗ "О внесении изменений в часть вторую Налогового кодекса Российской Федерации и отдельные законодательные акты Российской Федерации", вступивший в силу с 1 января 2015 года, предусматривает ежегодную индексацию действующих ставок водного налога по всем видам водопользования.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соответствии с пунктом 1.1 статьи 333.12 главы 25.2 "Водный налог" Налогового кодекса Российской Федерации (далее - Кодекс) налоговые ставки, установленные пунктом 1 данной статьи (с учетом положений пунктов 4 и 5), в 2015 году будут применяться с повышающим коэффициентом 1,15, в 2016 году - с коэффициентом 1,32, в 2017 году - с коэффициентом 1,52, в 2018 году - с коэффициентом 1,75, в 2019</w:t>
      </w:r>
      <w:proofErr w:type="gramEnd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году - с коэффициентом 2,01, в 2020 году - с коэффициентом 2,31, в 2021 - 2025 годах - соответственно 2,66, 3,06, 3,52, 4,05, 4,65.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Согласно пункту 4 статьи 333.12 Кодекса налогоплательщики, не имеющие средств измерений (технических систем и устройств с измерительными функциями) для измерения количества водных ресурсов, забранных (изъятых) </w:t>
      </w: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из водного объекта, применяют ставку водного налога, определенную с учетом положений пункта 1.1 указанной статьи, с дополнительным коэффициентом 1,1.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Ставки водного налога при заборе (изъятии) водных ресурсов из водных объектов для водоснабжения населения установлены пунктом 3 статьи 333.12 Кодекса и составляют: на 2015 год - 81 рубль за одну тысячу кубических метров водных ресурсов, забранных (изъятых) из водного объекта, на 2016 год - 93 рубля, на 2017 год - 107 рублей, на 2018 год - 122 рубля, на 2019 год - 141 рубль, на</w:t>
      </w:r>
      <w:proofErr w:type="gramEnd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2020 год - 162 рубля, на 2021 - 2025 годы - 186, 214, 246, 283, 326 рублей соответственно.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соответствии с Законом Российской Федерации от 21.02.2012 N 2395-1 "О недрах" пользование подземными водными объектами осуществляется на основании лицензии на пользование недрами для добычи подземных вод, выдаваемой в установленном порядке, с указанием целевого назначения использования забранной из водного объекта воды.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Согласно пункту 5 статьи 333.12 Кодекса ставка водного налога при добыче подземных вод (за исключением промышленных, минеральных, а также термальных вод) в целях их реализации после обработки, подготовки, переработки и (или) упаковки в тару, определяемая с учетом положений пункта 1.1 этой статьи, применяется с дополнительным коэффициентом 10.</w:t>
      </w:r>
    </w:p>
    <w:p w:rsidR="00385E45" w:rsidRPr="00385E45" w:rsidRDefault="00385E45" w:rsidP="00385E4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Учитывая </w:t>
      </w:r>
      <w:proofErr w:type="gramStart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изложенное</w:t>
      </w:r>
      <w:proofErr w:type="gramEnd"/>
      <w:r w:rsidRPr="00385E4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организация, осуществляющая забор воды из водного объекта в целях ее реализации после обработки, подготовки, переработки и (или) упаковки в тару, должна применять дополнительный коэффициент, предусмотренный пунктом 5 статьи 333.12 Кодекса.*</w:t>
      </w:r>
    </w:p>
    <w:p w:rsidR="00B57146" w:rsidRDefault="001C12B6"/>
    <w:sectPr w:rsidR="00B57146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E45"/>
    <w:rsid w:val="00066BA0"/>
    <w:rsid w:val="0014297C"/>
    <w:rsid w:val="001B52D2"/>
    <w:rsid w:val="001C12B6"/>
    <w:rsid w:val="00250BDA"/>
    <w:rsid w:val="002D4441"/>
    <w:rsid w:val="002F4455"/>
    <w:rsid w:val="00325334"/>
    <w:rsid w:val="00345836"/>
    <w:rsid w:val="00385E45"/>
    <w:rsid w:val="0039008E"/>
    <w:rsid w:val="00470C0A"/>
    <w:rsid w:val="004717A7"/>
    <w:rsid w:val="004731F7"/>
    <w:rsid w:val="004E1714"/>
    <w:rsid w:val="006529CE"/>
    <w:rsid w:val="006E6EF0"/>
    <w:rsid w:val="006F1C26"/>
    <w:rsid w:val="00736FCD"/>
    <w:rsid w:val="007D0288"/>
    <w:rsid w:val="00986BD9"/>
    <w:rsid w:val="00B171B6"/>
    <w:rsid w:val="00B70294"/>
    <w:rsid w:val="00CE283B"/>
    <w:rsid w:val="00D02134"/>
    <w:rsid w:val="00DB5497"/>
    <w:rsid w:val="00DF52F3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paragraph" w:styleId="1">
    <w:name w:val="heading 1"/>
    <w:basedOn w:val="a"/>
    <w:link w:val="10"/>
    <w:uiPriority w:val="9"/>
    <w:qFormat/>
    <w:rsid w:val="00385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E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85E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17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0776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lavbukh.ru/rubrika/146" TargetMode="External"/><Relationship Id="rId4" Type="http://schemas.openxmlformats.org/officeDocument/2006/relationships/hyperlink" Target="https://www.glavbukh.ru/podpis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cp:lastPrinted>2021-05-08T05:35:00Z</cp:lastPrinted>
  <dcterms:created xsi:type="dcterms:W3CDTF">2021-05-09T05:24:00Z</dcterms:created>
  <dcterms:modified xsi:type="dcterms:W3CDTF">2021-05-09T05:24:00Z</dcterms:modified>
</cp:coreProperties>
</file>